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tbl>
      <w:tblPr>
        <w:tblW w:w="9780" w:type="dxa"/>
        <w:jc w:val="left"/>
        <w:tblInd w:w="28" w:type="dxa"/>
        <w:shd w:fill="F1F1F1" w:val="clear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80"/>
        <w:gridCol w:w="7500"/>
      </w:tblGrid>
      <w:tr>
        <w:trPr/>
        <w:tc>
          <w:tcPr>
            <w:tcW w:w="9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spacing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b w:val="false"/>
                <w:sz w:val="24"/>
                <w:szCs w:val="24"/>
              </w:rPr>
              <w:t>Региональный государственный контроль (надзор) в сфере туристской индустрии на территории Ивановской области</w:t>
            </w:r>
          </w:p>
        </w:tc>
      </w:tr>
      <w:tr>
        <w:trPr/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sz w:val="24"/>
                <w:szCs w:val="24"/>
              </w:rPr>
              <w:t>Уполномоченный на осуществление орган</w:t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sz w:val="24"/>
                <w:szCs w:val="24"/>
              </w:rPr>
              <w:t>Департамент туризма Ивановской области</w:t>
            </w:r>
          </w:p>
        </w:tc>
      </w:tr>
      <w:tr>
        <w:trPr/>
        <w:tc>
          <w:tcPr>
            <w:tcW w:w="2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sz w:val="24"/>
                <w:szCs w:val="24"/>
              </w:rPr>
              <w:t>Предмет контроля (надзора)</w:t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соблюдение юридическими лицами, индивидуальными предпринимателями, физическими лицами следующих обязательных требований, установленных Федеральным законом от 24.11.1996 № 132-ФЗ «Об основах туристкой деятельности в Российской Федерации» (далее – Федеральный закон о туристской деятельности), и принимаемыми в соответствии с Федеральным законом о туристской деятельности нормативными правовыми актами: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228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jc w:val="both"/>
              <w:rPr/>
            </w:pPr>
            <w:r>
              <w:rPr>
                <w:b w:val="false"/>
                <w:sz w:val="24"/>
                <w:szCs w:val="24"/>
              </w:rPr>
              <w:t>а) в отношении деятельности, связанной с использованием средств размещения, в отношении которых распространяется действие </w:t>
            </w:r>
            <w:hyperlink r:id="rId2">
              <w:r>
                <w:rPr>
                  <w:b w:val="false"/>
                  <w:strike w:val="false"/>
                  <w:dstrike w:val="false"/>
                  <w:color w:val="4169E1"/>
                  <w:sz w:val="24"/>
                  <w:szCs w:val="24"/>
                  <w:u w:val="none"/>
                  <w:effect w:val="none"/>
                </w:rPr>
                <w:t>статьи 5.1</w:t>
              </w:r>
            </w:hyperlink>
            <w:r>
              <w:rPr>
                <w:b w:val="false"/>
                <w:sz w:val="24"/>
                <w:szCs w:val="24"/>
              </w:rPr>
              <w:t> Федерального закона о туристской деятельности, за исключением санаторно-курортных организаций, подведомственных федеральным органам исполнительной власти, к предмету регионального государственного контроля (надзора) относится соблюдение следующих обязательных требований: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наличие сведений о средстве размещения в реестре классифицированных средств размещения;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/>
            </w:pPr>
            <w:r>
              <w:rPr>
                <w:b w:val="false"/>
                <w:sz w:val="24"/>
                <w:szCs w:val="24"/>
              </w:rPr>
              <w:t>соответствие средства размещения требованиям к соответствующему типу средств размещения, установленным </w:t>
            </w:r>
            <w:hyperlink r:id="rId3">
              <w:r>
                <w:rPr>
                  <w:b w:val="false"/>
                  <w:strike w:val="false"/>
                  <w:dstrike w:val="false"/>
                  <w:color w:val="4169E1"/>
                  <w:sz w:val="24"/>
                  <w:szCs w:val="24"/>
                  <w:u w:val="none"/>
                  <w:effect w:val="none"/>
                </w:rPr>
                <w:t>положением</w:t>
              </w:r>
            </w:hyperlink>
            <w:r>
              <w:rPr>
                <w:b w:val="false"/>
                <w:sz w:val="24"/>
                <w:szCs w:val="24"/>
              </w:rPr>
              <w:t> о классификации средств размещения;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соответствие средства размещения типу и (или) типу и категории, указанным в реестре классифицированных средств размещения;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соответствие типа и (или) категории средства размещения, используемых в рекламе, названии средства размещения, а также в деятельности, связанной с использованием средства размещения, типу и (или) категории, указанным в реестре классифицированных средств размещения;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наличие ссылки в информационно-телекоммуникационной сети Интернет на запись в реестре классифицированных средств размещения, содержащую сведения о средстве размещения, а также соответствие сведений о средстве размещения, представленных в информации о предоставлении услуг средства размещения, гостиничных услуг на сайте владельца агрегатора информации об услугах или владельца сервиса размещения объявлений в информационно-телекоммуникационной сети Интернет, аналогичным сведениям о средстве размещения, указанным в реестре классифицированных средств размещения;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соблюдение правил оказания гостиничных услуг, услуг средств размещения (при наличии) (за исключением требований, относящихся к предмету федерального государственного контроля (надзора) в области защиты прав потребителей);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228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б) в отношении деятельности, связанной с использованием горнолыжных трасс или пляжей, к предмету регионального государственного контроля (надзора) относится соблюдение обязательных требований в части соответствия категории горнолыжной трассы или категории пляжа, используемых в рекламе, названии горнолыжной трассы или пляжа и деятельности, связанной с использованием горнолыжной трассы или пляжа, категории горнолыжной трассы или пляжа, указанным в реестре классифицированных горнолыжных трасс или реестре классифицированных пляжей;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228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в) в отношении деятельности экскурсоводов (гидов), гидов-переводчиков к предмету регионального государственного контроля (надзора) относится соблюдение следующих обязательных требований: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наличие действующей аттестации и нагрудной идентификационной карточки экскурсоводов (гидов) и гидов-переводчиков при оказании ими услуг;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соблюдение правил оказания услуг экскурсоводом (гидом) и гидом-переводчиком (за исключением требований, относящихся к предмету федерального государственного контроля (надзора) в области защиты прав потребителей);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228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г) в отношении деятельности инструкторов-проводников к предмету регионального государственного контроля (надзора) относится соблюдение следующих обязательных требований: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наличие действующей аттестации и нагрудной идентификационной карточки у инструктора-проводника при оказании им услуг;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направление инструктором-проводником уведомления о сопровождении туристов (экскурсантов) на туристском маршруте, требующем специального сопровождения;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сопровождение туристов (экскурсантов) инструктором-проводником при посещении (прохождении) туристских маршрутов, требующих специального сопровождения;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соблюдение правил оказания услуг инструктора-проводника (за исключением требований, относящихся к предмету федерального государственного контроля (надзора) в области защиты прав потребителей);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sz w:val="24"/>
                <w:szCs w:val="24"/>
              </w:rPr>
              <w:t>Объекты контроля (надзора)</w:t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1.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(бездействие).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2. результаты деятельности контролируемых лиц, в том числе услуги, к которым предъявляются обязательные требования.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sz w:val="24"/>
                <w:szCs w:val="24"/>
              </w:rPr>
              <w:t>Должностные лица, уполномоченные осуществлять контроль (надзор)</w:t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1. заместитель директора Департамента туризма Ивановской области, начальник управления по туризму Департамента туризма Ивановской области;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2. главный советник отдела правового, кадрового, экономического и организационного обеспечения Департамента туризма Ивановской области;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3. ведущий советник управления по туризму Департамента туризма Ивановской области.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Исчерпывающий перечень сведений, которые могут запрашиваться</w:t>
            </w:r>
          </w:p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у контролируемого лица при осуществлении</w:t>
            </w:r>
          </w:p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sz w:val="24"/>
                <w:szCs w:val="24"/>
              </w:rPr>
              <w:t>контроля (надзора)</w:t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Приказ Департамента туризма Ивановской области от 17.04.2025 № 6</w:t>
            </w:r>
          </w:p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hyperlink r:id="rId4">
              <w:r>
                <w:rPr>
                  <w:b w:val="false"/>
                  <w:strike w:val="false"/>
                  <w:dstrike w:val="false"/>
                  <w:color w:val="4169E1"/>
                  <w:sz w:val="24"/>
                  <w:szCs w:val="24"/>
                  <w:u w:val="none"/>
                  <w:effect w:val="none"/>
                </w:rPr>
                <w:t>Приказ № 6</w:t>
              </w:r>
            </w:hyperlink>
          </w:p>
        </w:tc>
      </w:tr>
      <w:tr>
        <w:trPr/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sz w:val="24"/>
                <w:szCs w:val="24"/>
              </w:rPr>
              <w:t>Положения о региональном государственном контроле (надзоре) в сфере туристской индустрии</w:t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Постановление Правительства Ивановской области от 19.02.2025 № 65-п "Положение о региональном государственном контроле (надзоре) в сфере туристской индустрии на территории Ивановской области"</w:t>
            </w:r>
          </w:p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hyperlink r:id="rId5">
              <w:r>
                <w:rPr>
                  <w:strike w:val="false"/>
                  <w:dstrike w:val="false"/>
                  <w:color w:val="4169E1"/>
                  <w:sz w:val="24"/>
                  <w:szCs w:val="24"/>
                  <w:u w:val="none"/>
                  <w:effect w:val="none"/>
                </w:rPr>
                <w:t xml:space="preserve">№ </w:t>
              </w:r>
              <w:r>
                <w:rPr>
                  <w:b w:val="false"/>
                  <w:strike w:val="false"/>
                  <w:dstrike w:val="false"/>
                  <w:color w:val="4169E1"/>
                  <w:sz w:val="24"/>
                  <w:szCs w:val="24"/>
                  <w:u w:val="none"/>
                  <w:effect w:val="none"/>
                </w:rPr>
                <w:t>65-п</w:t>
              </w:r>
            </w:hyperlink>
          </w:p>
        </w:tc>
      </w:tr>
      <w:tr>
        <w:trPr/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sz w:val="24"/>
                <w:szCs w:val="24"/>
              </w:rPr>
              <w:t>Индикаторы риска нарушения обязательных требований</w:t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Решение о проведении контрольного (надзорного) мероприятия принимает уполномоченное должностное лицо Департамента с учетом следующих индикаторов риска нарушения обязательных требований: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/>
            </w:pPr>
            <w:r>
              <w:rPr>
                <w:b w:val="false"/>
                <w:sz w:val="24"/>
                <w:szCs w:val="24"/>
              </w:rPr>
              <w:t>отсутствие сведений о средстве размещения в реестре классифицированных средств размещения в отношении средств размещения, сведения о которых содержатся в информации, представляемой в контрольный (надзорный) орган в соответствии с </w:t>
            </w:r>
            <w:hyperlink r:id="rId6">
              <w:r>
                <w:rPr>
                  <w:b w:val="false"/>
                  <w:strike w:val="false"/>
                  <w:dstrike w:val="false"/>
                  <w:color w:val="4169E1"/>
                  <w:sz w:val="24"/>
                  <w:szCs w:val="24"/>
                  <w:u w:val="none"/>
                  <w:effect w:val="none"/>
                </w:rPr>
                <w:t>частью 3 статьи 418.3</w:t>
              </w:r>
            </w:hyperlink>
            <w:r>
              <w:rPr>
                <w:b w:val="false"/>
                <w:sz w:val="24"/>
                <w:szCs w:val="24"/>
              </w:rPr>
              <w:t> Налогового кодекса Российской Федерации;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наличие в реестре классифицированных средств размещения сведений о неоднократном (более 2 раз) изменении лицом, осуществляющим предоставление услуг средства размещения, гостиничных услуг, типа средства размещения в течение одного календарного года;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наличие в информационно-телекоммуникационной сети Интернет, средствах массовой информации и (или) рекламе в течение 3 календарных месяцев информации об одновременной сдаче в аренду одним арендодателем (рекламодателем) для временного проживания на посуточной (понедельной) основе более 10 комнат, апартаментов или иных помещений (за исключением жилых помещений), расположенных в одном здании или сооружении.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Перечень</w:t>
            </w:r>
          </w:p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sz w:val="24"/>
                <w:szCs w:val="24"/>
              </w:rPr>
              <w:t>индикативных показателей осуществления контроля (надзора)</w:t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1. количество внеплановых контрольных (надзорных) мероприятий, проведенных за отчетный период.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2. общее количество контрольных (надзорных) мероприятий с взаимодействием, проведенных за отчетный период.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3. количество контрольных (надзорных) мероприятий, проведенных с использованием средств дистанционного взаимодействия, за отчетный период.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4. количество обязательных профилактических визитов, проведенных за отчетный период.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5. количество предостережений о недопустимости нарушения обязательных требований, объявленных за отчетный период.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6. количество контрольных (надзорных) мероприятий, по результатам которых выявлены нарушения обязательных требований, за отчетный период.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7. количество направленных в органы прокуратуры заявлений о согласовании проведения контрольных (надзорных) мероприятий, за отчетный период.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8. общее количество учтенных контролируемых лиц на конец отчетного периода.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9. количество учтенных контролируемых лиц, в отношении которых проведены контрольные (надзорные) мероприятия, за отчетный период;</w:t>
            </w:r>
          </w:p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10. общее количество жалоб, поданных контролируемыми лицами в досудебном порядке, за отчетный период.</w:t>
            </w:r>
          </w:p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sz w:val="24"/>
                <w:szCs w:val="24"/>
              </w:rPr>
              <w:t>Ключевые показатели результативности контроля (надзора)</w:t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tbl>
            <w:tblPr>
              <w:tblW w:w="6877" w:type="dxa"/>
              <w:jc w:val="left"/>
              <w:tblInd w:w="56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429"/>
              <w:gridCol w:w="5109"/>
              <w:gridCol w:w="1339"/>
            </w:tblGrid>
            <w:tr>
              <w:trPr/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0"/>
                    <w:pBdr/>
                    <w:spacing w:before="0" w:after="0"/>
                    <w:ind w:left="0" w:right="0" w:hanging="0"/>
                    <w:jc w:val="center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sz w:val="24"/>
                      <w:szCs w:val="24"/>
                    </w:rPr>
                    <w:t xml:space="preserve">№ </w:t>
                  </w:r>
                  <w:r>
                    <w:rPr>
                      <w:b w:val="false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51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0"/>
                    <w:pBdr/>
                    <w:spacing w:before="0" w:after="0"/>
                    <w:ind w:left="0" w:right="0" w:hanging="0"/>
                    <w:jc w:val="center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sz w:val="24"/>
                      <w:szCs w:val="24"/>
                    </w:rPr>
                    <w:t>Наименование ключевого показателя</w:t>
                  </w:r>
                </w:p>
              </w:tc>
              <w:tc>
                <w:tcPr>
                  <w:tcW w:w="1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0"/>
                    <w:pBdr/>
                    <w:spacing w:before="0" w:after="0"/>
                    <w:ind w:left="0" w:right="0" w:hanging="0"/>
                    <w:jc w:val="center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sz w:val="24"/>
                      <w:szCs w:val="24"/>
                    </w:rPr>
                    <w:t>Целевое значение показателя, %</w:t>
                  </w:r>
                </w:p>
              </w:tc>
            </w:tr>
            <w:tr>
              <w:trPr/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0"/>
                    <w:pBdr/>
                    <w:spacing w:before="0" w:after="0"/>
                    <w:ind w:left="0" w:right="0" w:hanging="0"/>
                    <w:jc w:val="both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0"/>
                    <w:pBdr/>
                    <w:spacing w:before="0" w:after="0"/>
                    <w:ind w:left="0" w:right="0" w:hanging="0"/>
                    <w:jc w:val="both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sz w:val="24"/>
                      <w:szCs w:val="24"/>
                    </w:rPr>
                    <w:t>Доля средств размещения, имеющих действующую классификацию, в общем количестве средств размещения, оказывающих услуги временного размещения на территории Ивановской области</w:t>
                  </w:r>
                </w:p>
              </w:tc>
              <w:tc>
                <w:tcPr>
                  <w:tcW w:w="1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0"/>
                    <w:pBdr/>
                    <w:spacing w:before="0" w:after="0"/>
                    <w:ind w:left="0" w:right="0" w:hanging="0"/>
                    <w:jc w:val="center"/>
                    <w:rPr>
                      <w:b w:val="false"/>
                      <w:sz w:val="24"/>
                      <w:szCs w:val="24"/>
                    </w:rPr>
                  </w:pPr>
                  <w:r>
                    <w:rPr>
                      <w:b w:val="false"/>
                      <w:sz w:val="24"/>
                      <w:szCs w:val="24"/>
                    </w:rPr>
                    <w:t>&gt;90</w:t>
                  </w:r>
                </w:p>
                <w:p>
                  <w:pPr>
                    <w:pStyle w:val="Style20"/>
                    <w:pBdr/>
                    <w:spacing w:before="0" w:after="0"/>
                    <w:ind w:left="0" w:right="0" w:hanging="0"/>
                    <w:jc w:val="center"/>
                    <w:rPr>
                      <w:b w:val="false"/>
                      <w:b w:val="false"/>
                      <w:bCs w:val="false"/>
                      <w:sz w:val="24"/>
                      <w:szCs w:val="24"/>
                    </w:rPr>
                  </w:pPr>
                  <w:r>
                    <w:rPr>
                      <w:b w:val="false"/>
                      <w:bCs w:val="false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0"/>
                    <w:pBdr/>
                    <w:spacing w:before="0" w:after="0"/>
                    <w:ind w:left="0" w:right="0" w:hanging="0"/>
                    <w:jc w:val="both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0"/>
                    <w:pBdr/>
                    <w:spacing w:before="0" w:after="0"/>
                    <w:ind w:left="0" w:right="0" w:hanging="0"/>
                    <w:jc w:val="both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sz w:val="24"/>
                      <w:szCs w:val="24"/>
                    </w:rPr>
                    <w:t>Доля экскурсоводов (гидов), гидов-переводчиков, соблюдающих обязательные требования, в общему количестве индивидуальных предпринимателей и физических лиц, предоставляющих услуги экскурсоводов (гидов), гидов-переводчиков на территории Ивановской области</w:t>
                  </w:r>
                </w:p>
              </w:tc>
              <w:tc>
                <w:tcPr>
                  <w:tcW w:w="1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0"/>
                    <w:pBdr/>
                    <w:spacing w:before="0" w:after="0"/>
                    <w:ind w:left="0" w:right="0" w:hanging="0"/>
                    <w:jc w:val="center"/>
                    <w:rPr>
                      <w:b w:val="false"/>
                      <w:sz w:val="24"/>
                      <w:szCs w:val="24"/>
                    </w:rPr>
                  </w:pPr>
                  <w:r>
                    <w:rPr>
                      <w:b w:val="false"/>
                      <w:sz w:val="24"/>
                      <w:szCs w:val="24"/>
                    </w:rPr>
                    <w:t>&gt;90</w:t>
                  </w:r>
                </w:p>
                <w:p>
                  <w:pPr>
                    <w:pStyle w:val="Style20"/>
                    <w:pBdr/>
                    <w:spacing w:before="0" w:after="0"/>
                    <w:ind w:left="0" w:right="0" w:hanging="0"/>
                    <w:jc w:val="center"/>
                    <w:rPr>
                      <w:b w:val="false"/>
                      <w:b w:val="false"/>
                      <w:bCs w:val="false"/>
                      <w:sz w:val="24"/>
                      <w:szCs w:val="24"/>
                    </w:rPr>
                  </w:pPr>
                  <w:r>
                    <w:rPr>
                      <w:b w:val="false"/>
                      <w:bCs w:val="false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Значение ключевого показателя, указанного в п.1 производится по следующей формуле:</w:t>
            </w:r>
          </w:p>
          <w:tbl>
            <w:tblPr>
              <w:tblW w:w="2289" w:type="dxa"/>
              <w:jc w:val="left"/>
              <w:tblInd w:w="0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738"/>
              <w:gridCol w:w="660"/>
              <w:gridCol w:w="891"/>
            </w:tblGrid>
            <w:tr>
              <w:trPr/>
              <w:tc>
                <w:tcPr>
                  <w:tcW w:w="73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0"/>
                    <w:pBdr/>
                    <w:spacing w:before="0" w:after="0"/>
                    <w:ind w:left="0" w:right="0" w:hanging="0"/>
                    <w:jc w:val="right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sz w:val="24"/>
                      <w:szCs w:val="24"/>
                    </w:rPr>
                    <w:t>D</w:t>
                  </w:r>
                  <w:r>
                    <w:rPr>
                      <w:b w:val="false"/>
                      <w:sz w:val="24"/>
                      <w:szCs w:val="24"/>
                    </w:rPr>
                    <w:t>1</w:t>
                  </w:r>
                  <w:r>
                    <w:rPr>
                      <w:b w:val="false"/>
                      <w:sz w:val="24"/>
                      <w:szCs w:val="24"/>
                    </w:rPr>
                    <w:t> = (</w:t>
                  </w:r>
                </w:p>
              </w:tc>
              <w:tc>
                <w:tcPr>
                  <w:tcW w:w="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0"/>
                    <w:pBdr/>
                    <w:spacing w:before="0" w:after="0"/>
                    <w:ind w:left="0" w:right="0" w:hanging="0"/>
                    <w:jc w:val="both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sz w:val="24"/>
                      <w:szCs w:val="24"/>
                    </w:rPr>
                    <w:t>С</w:t>
                  </w:r>
                  <w:r>
                    <w:rPr>
                      <w:b w:val="false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89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0"/>
                    <w:pBdr/>
                    <w:spacing w:before="0" w:after="0"/>
                    <w:ind w:left="0" w:right="0" w:hanging="0"/>
                    <w:jc w:val="both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sz w:val="24"/>
                      <w:szCs w:val="24"/>
                    </w:rPr>
                    <w:t>)100 %;</w:t>
                  </w:r>
                </w:p>
              </w:tc>
            </w:tr>
            <w:tr>
              <w:trPr/>
              <w:tc>
                <w:tcPr>
                  <w:tcW w:w="738" w:type="dxa"/>
                  <w:vMerge w:val="continue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0"/>
                    <w:pBdr/>
                    <w:spacing w:before="0" w:after="0"/>
                    <w:ind w:left="0" w:right="0" w:hanging="0"/>
                    <w:jc w:val="both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sz w:val="24"/>
                      <w:szCs w:val="24"/>
                    </w:rPr>
                    <w:t>С</w:t>
                  </w:r>
                  <w:r>
                    <w:rPr>
                      <w:b w:val="false"/>
                      <w:sz w:val="24"/>
                      <w:szCs w:val="24"/>
                    </w:rPr>
                    <w:t>общ</w:t>
                  </w:r>
                </w:p>
              </w:tc>
              <w:tc>
                <w:tcPr>
                  <w:tcW w:w="891" w:type="dxa"/>
                  <w:vMerge w:val="continue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где: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D</w:t>
            </w:r>
            <w:r>
              <w:rPr>
                <w:b w:val="false"/>
                <w:sz w:val="24"/>
                <w:szCs w:val="24"/>
              </w:rPr>
              <w:t>1 – </w:t>
            </w:r>
            <w:r>
              <w:rPr>
                <w:b w:val="false"/>
                <w:sz w:val="24"/>
                <w:szCs w:val="24"/>
              </w:rPr>
              <w:t>ключевой показатель;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</w:t>
            </w:r>
            <w:r>
              <w:rPr>
                <w:b w:val="false"/>
                <w:sz w:val="24"/>
                <w:szCs w:val="24"/>
              </w:rPr>
              <w:t>к</w:t>
            </w:r>
            <w:r>
              <w:rPr>
                <w:b w:val="false"/>
                <w:sz w:val="24"/>
                <w:szCs w:val="24"/>
              </w:rPr>
              <w:t> – количество средств размещения, оказывающих услуги временного размещения на территории Ивановской области имеющих действующую классификацию, за исключением средств размещения, не подлежащих обязательной классификации в соответствии с законодательством Российской Федерации на 31 декабря текущего года;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</w:t>
            </w:r>
            <w:r>
              <w:rPr>
                <w:b w:val="false"/>
                <w:sz w:val="24"/>
                <w:szCs w:val="24"/>
              </w:rPr>
              <w:t>общ</w:t>
            </w:r>
            <w:r>
              <w:rPr>
                <w:b w:val="false"/>
                <w:sz w:val="24"/>
                <w:szCs w:val="24"/>
              </w:rPr>
              <w:t> - общее количество средств размещения, оказывающих услуги временного размещения на территории Ивановской области, определяемое как сумма средств размещения, сведения о действующей классификации которых содержится в реестре классифицированных средств размещения, и средств размещения, оказывающих услуги временного размещения на территории Ивановской области не имеющих действующей классификации на 31 декабря текущего года.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Значение ключевого показателя, указанного в п. 2 производится по следующей формуле:</w:t>
            </w:r>
          </w:p>
          <w:tbl>
            <w:tblPr>
              <w:tblW w:w="2289" w:type="dxa"/>
              <w:jc w:val="left"/>
              <w:tblInd w:w="0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738"/>
              <w:gridCol w:w="660"/>
              <w:gridCol w:w="891"/>
            </w:tblGrid>
            <w:tr>
              <w:trPr/>
              <w:tc>
                <w:tcPr>
                  <w:tcW w:w="73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0"/>
                    <w:pBdr/>
                    <w:spacing w:before="0" w:after="0"/>
                    <w:ind w:left="0" w:right="0" w:hanging="0"/>
                    <w:jc w:val="right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sz w:val="24"/>
                      <w:szCs w:val="24"/>
                    </w:rPr>
                    <w:t>D</w:t>
                  </w:r>
                  <w:r>
                    <w:rPr>
                      <w:b w:val="false"/>
                      <w:sz w:val="24"/>
                      <w:szCs w:val="24"/>
                    </w:rPr>
                    <w:t>2</w:t>
                  </w:r>
                  <w:r>
                    <w:rPr>
                      <w:b w:val="false"/>
                      <w:sz w:val="24"/>
                      <w:szCs w:val="24"/>
                    </w:rPr>
                    <w:t> = (</w:t>
                  </w:r>
                </w:p>
              </w:tc>
              <w:tc>
                <w:tcPr>
                  <w:tcW w:w="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0"/>
                    <w:pBdr/>
                    <w:spacing w:before="0" w:after="0"/>
                    <w:ind w:left="0" w:right="0" w:hanging="0"/>
                    <w:jc w:val="both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sz w:val="24"/>
                      <w:szCs w:val="24"/>
                    </w:rPr>
                    <w:t>Э</w:t>
                  </w:r>
                  <w:r>
                    <w:rPr>
                      <w:b w:val="false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89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0"/>
                    <w:pBdr/>
                    <w:spacing w:before="0" w:after="0"/>
                    <w:ind w:left="0" w:right="0" w:hanging="0"/>
                    <w:jc w:val="both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sz w:val="24"/>
                      <w:szCs w:val="24"/>
                    </w:rPr>
                    <w:t>)100 %;</w:t>
                  </w:r>
                </w:p>
              </w:tc>
            </w:tr>
            <w:tr>
              <w:trPr/>
              <w:tc>
                <w:tcPr>
                  <w:tcW w:w="738" w:type="dxa"/>
                  <w:vMerge w:val="continue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0"/>
                    <w:pBdr/>
                    <w:spacing w:before="0" w:after="0"/>
                    <w:ind w:left="0" w:right="0" w:hanging="0"/>
                    <w:jc w:val="both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sz w:val="24"/>
                      <w:szCs w:val="24"/>
                    </w:rPr>
                    <w:t>Э</w:t>
                  </w:r>
                  <w:r>
                    <w:rPr>
                      <w:b w:val="false"/>
                      <w:sz w:val="24"/>
                      <w:szCs w:val="24"/>
                    </w:rPr>
                    <w:t>общ</w:t>
                  </w:r>
                </w:p>
              </w:tc>
              <w:tc>
                <w:tcPr>
                  <w:tcW w:w="891" w:type="dxa"/>
                  <w:vMerge w:val="continue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где: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D</w:t>
            </w:r>
            <w:r>
              <w:rPr>
                <w:b w:val="false"/>
                <w:sz w:val="24"/>
                <w:szCs w:val="24"/>
              </w:rPr>
              <w:t>2 – </w:t>
            </w:r>
            <w:r>
              <w:rPr>
                <w:b w:val="false"/>
                <w:sz w:val="24"/>
                <w:szCs w:val="24"/>
              </w:rPr>
              <w:t>ключевой показатель;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Э</w:t>
            </w:r>
            <w:r>
              <w:rPr>
                <w:b w:val="false"/>
                <w:sz w:val="24"/>
                <w:szCs w:val="24"/>
              </w:rPr>
              <w:t>к</w:t>
            </w:r>
            <w:r>
              <w:rPr>
                <w:b w:val="false"/>
                <w:sz w:val="24"/>
                <w:szCs w:val="24"/>
              </w:rPr>
              <w:t> – количество экскурсоводов (гидов), гидов-переводчиков, соблюдающих обязательные требования в отчетном периоде;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Э</w:t>
            </w:r>
            <w:r>
              <w:rPr>
                <w:b w:val="false"/>
                <w:sz w:val="24"/>
                <w:szCs w:val="24"/>
              </w:rPr>
              <w:t>общ</w:t>
            </w:r>
            <w:r>
              <w:rPr>
                <w:b w:val="false"/>
                <w:sz w:val="24"/>
                <w:szCs w:val="24"/>
              </w:rPr>
              <w:t> - общее количество индивидуальных предпринимателей и физических лиц, предоставляющих услуги экскурсоводов (гидов), гидов-переводчиков на территории Ивановской области, в отчетном периоде.</w:t>
            </w:r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sz w:val="24"/>
                <w:szCs w:val="24"/>
              </w:rPr>
              <w:t>Профилактика</w:t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jc w:val="both"/>
              <w:rPr/>
            </w:pPr>
            <w:hyperlink r:id="rId7">
              <w:r>
                <w:rPr>
                  <w:b w:val="false"/>
                  <w:strike w:val="false"/>
                  <w:dstrike w:val="false"/>
                  <w:color w:val="4169E1"/>
                  <w:sz w:val="24"/>
                  <w:szCs w:val="24"/>
                  <w:u w:val="none"/>
                  <w:effect w:val="none"/>
                </w:rPr>
                <w:t>Программа профилактики на 2025 год</w:t>
              </w:r>
            </w:hyperlink>
          </w:p>
          <w:p>
            <w:pPr>
              <w:pStyle w:val="Style20"/>
              <w:pBdr/>
              <w:spacing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sz w:val="24"/>
                <w:szCs w:val="24"/>
              </w:rPr>
              <w:t>Доклады</w:t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rPr/>
            </w:pPr>
            <w:hyperlink r:id="rId8">
              <w:r>
                <w:rPr>
                  <w:b w:val="false"/>
                  <w:strike w:val="false"/>
                  <w:dstrike w:val="false"/>
                  <w:color w:val="4169E1"/>
                  <w:sz w:val="24"/>
                  <w:szCs w:val="24"/>
                  <w:u w:val="none"/>
                  <w:effect w:val="none"/>
                </w:rPr>
                <w:t>Доклад 2024 год</w:t>
              </w:r>
            </w:hyperlink>
          </w:p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sz w:val="24"/>
                <w:szCs w:val="24"/>
              </w:rPr>
              <w:t>Обновление</w:t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1F1F1" w:val="clear"/>
            <w:vAlign w:val="center"/>
          </w:tcPr>
          <w:p>
            <w:pPr>
              <w:pStyle w:val="Style20"/>
              <w:pBdr/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sz w:val="24"/>
                <w:szCs w:val="24"/>
              </w:rPr>
              <w:t>19.08.2025</w:t>
            </w:r>
          </w:p>
        </w:tc>
      </w:tr>
    </w:tbl>
    <w:p>
      <w:pPr>
        <w:pStyle w:val="Style16"/>
        <w:spacing w:lineRule="auto" w:line="276" w:before="0" w:after="140"/>
        <w:rPr/>
      </w:pPr>
      <w:r>
        <w:rPr/>
        <w:br/>
      </w:r>
    </w:p>
    <w:sectPr>
      <w:type w:val="nextPage"/>
      <w:pgSz w:w="11906" w:h="16838"/>
      <w:pgMar w:left="1276" w:right="850" w:header="0" w:top="709" w:footer="0" w:bottom="48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293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styleId="1">
    <w:name w:val="Heading 1"/>
    <w:basedOn w:val="Normal"/>
    <w:next w:val="Normal"/>
    <w:link w:val="10"/>
    <w:uiPriority w:val="9"/>
    <w:qFormat/>
    <w:rsid w:val="00c3362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 w:customStyle="1">
    <w:name w:val="Heading 2"/>
    <w:basedOn w:val="Normal"/>
    <w:next w:val="Normal"/>
    <w:link w:val="21"/>
    <w:uiPriority w:val="9"/>
    <w:unhideWhenUsed/>
    <w:qFormat/>
    <w:rsid w:val="005b3076"/>
    <w:pPr>
      <w:keepNext w:val="true"/>
      <w:keepLines/>
      <w:widowControl/>
      <w:suppressAutoHyphens w:val="false"/>
      <w:spacing w:lineRule="auto" w:line="276"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rsid w:val="003a2932"/>
    <w:rPr>
      <w:color w:val="0000FF" w:themeColor="hyperlink"/>
      <w:u w:val="single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3a2932"/>
    <w:rPr>
      <w:rFonts w:ascii="Tahoma" w:hAnsi="Tahoma" w:eastAsia="Times New Roman" w:cs="Tahoma"/>
      <w:sz w:val="16"/>
      <w:szCs w:val="16"/>
      <w:lang w:eastAsia="ar-SA"/>
    </w:rPr>
  </w:style>
  <w:style w:type="character" w:styleId="Style14" w:customStyle="1">
    <w:name w:val="Посещённая гиперссылка"/>
    <w:rsid w:val="00d43fda"/>
    <w:rPr>
      <w:color w:val="800000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3362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ar-SA"/>
    </w:rPr>
  </w:style>
  <w:style w:type="character" w:styleId="21" w:customStyle="1">
    <w:name w:val="Заголовок 2 Знак1"/>
    <w:basedOn w:val="DefaultParagraphFont"/>
    <w:link w:val="Heading2"/>
    <w:uiPriority w:val="9"/>
    <w:qFormat/>
    <w:rsid w:val="005b3076"/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Style15" w:customStyle="1">
    <w:name w:val="Заголовок"/>
    <w:basedOn w:val="Normal"/>
    <w:next w:val="Style16"/>
    <w:qFormat/>
    <w:rsid w:val="00d43fda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rsid w:val="00d43fda"/>
    <w:pPr>
      <w:spacing w:lineRule="auto" w:line="276" w:before="0" w:after="140"/>
    </w:pPr>
    <w:rPr/>
  </w:style>
  <w:style w:type="paragraph" w:styleId="Style17">
    <w:name w:val="List"/>
    <w:basedOn w:val="Style16"/>
    <w:rsid w:val="00d43fda"/>
    <w:pPr/>
    <w:rPr>
      <w:rFonts w:ascii="PT Astra Serif" w:hAnsi="PT Astra Serif" w:cs="Noto Sans Devanagari"/>
    </w:rPr>
  </w:style>
  <w:style w:type="paragraph" w:styleId="Style18" w:customStyle="1">
    <w:name w:val="Caption"/>
    <w:basedOn w:val="Normal"/>
    <w:qFormat/>
    <w:rsid w:val="00d43fd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d43fda"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3a2932"/>
    <w:pPr/>
    <w:rPr>
      <w:rFonts w:ascii="Tahoma" w:hAnsi="Tahoma" w:cs="Tahoma"/>
      <w:sz w:val="16"/>
      <w:szCs w:val="16"/>
    </w:rPr>
  </w:style>
  <w:style w:type="paragraph" w:styleId="111" w:customStyle="1">
    <w:name w:val="Рег. 1.1.1"/>
    <w:basedOn w:val="Normal"/>
    <w:qFormat/>
    <w:rsid w:val="005b3076"/>
    <w:pPr>
      <w:widowControl/>
      <w:suppressAutoHyphens w:val="false"/>
      <w:spacing w:lineRule="auto" w:line="276"/>
      <w:jc w:val="both"/>
    </w:pPr>
    <w:rPr>
      <w:rFonts w:eastAsia="Calibri"/>
      <w:sz w:val="28"/>
      <w:szCs w:val="28"/>
      <w:lang w:eastAsia="en-US"/>
    </w:rPr>
  </w:style>
  <w:style w:type="paragraph" w:styleId="112" w:customStyle="1">
    <w:name w:val="Рег. Основной текст уровнеь 1.1 (базовый)"/>
    <w:basedOn w:val="Normal"/>
    <w:qFormat/>
    <w:rsid w:val="005b3076"/>
    <w:pPr>
      <w:widowControl/>
      <w:suppressAutoHyphens w:val="false"/>
      <w:spacing w:lineRule="auto" w:line="276"/>
      <w:jc w:val="both"/>
    </w:pPr>
    <w:rPr>
      <w:rFonts w:eastAsia="Calibri"/>
      <w:sz w:val="28"/>
      <w:szCs w:val="28"/>
      <w:lang w:eastAsia="en-US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ru-RU" w:eastAsia="zh-CN" w:bidi="hi-IN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Содержимое списка"/>
    <w:basedOn w:val="Normal"/>
    <w:qFormat/>
    <w:pPr>
      <w:ind w:left="567" w:hanging="0"/>
    </w:pPr>
    <w:rPr/>
  </w:style>
  <w:style w:type="paragraph" w:styleId="Style23">
    <w:name w:val="Заголовок списка"/>
    <w:basedOn w:val="Normal"/>
    <w:next w:val="Style22"/>
    <w:qFormat/>
    <w:pPr>
      <w:ind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1c3226"/>
    <w:rPr>
      <w:sz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ZR&amp;n=510639&amp;dst=1327" TargetMode="External"/><Relationship Id="rId3" Type="http://schemas.openxmlformats.org/officeDocument/2006/relationships/hyperlink" Target="https://login.consultant.ru/link/?req=doc&amp;base=RZR&amp;n=495340&amp;dst=100031" TargetMode="External"/><Relationship Id="rId4" Type="http://schemas.openxmlformats.org/officeDocument/2006/relationships/hyperlink" Target="https://dt.ivanovoobl.ru/account/12.12/&#1048;&#1089;&#1095;&#1077;&#1088;&#1087;&#1099;&#1074;&#1072;&#1102;&#1097;&#1080;&#1081; &#1087;&#1077;&#1088;&#1077;&#1095;&#1077;&#1085;&#1100; &#1089;&#1074;&#1077;&#1076;&#1077;&#1085;&#1080;&#1081; &#1055;&#1088;&#1080;&#1082;&#1072;&#1079; &#1044;&#1077;&#1087;&#1072;&#1088;&#1090;&#1072;&#1084;&#1077;&#1085;&#1090;&#1072; &#1090;&#1091;&#1088;&#1080;&#1079;&#1084;&#1072; &#1086;&#1090; 17.04.2025 &#8470; 6.pdf" TargetMode="External"/><Relationship Id="rId5" Type="http://schemas.openxmlformats.org/officeDocument/2006/relationships/hyperlink" Target="https://dt.ivanovoobl.ru/account/12.12/&#1050;&#1053;&#1044; 65-&#1087;.docx" TargetMode="External"/><Relationship Id="rId6" Type="http://schemas.openxmlformats.org/officeDocument/2006/relationships/hyperlink" Target="https://login.consultant.ru/link/?req=doc&amp;base=RZR&amp;n=511075&amp;dst=27268" TargetMode="External"/><Relationship Id="rId7" Type="http://schemas.openxmlformats.org/officeDocument/2006/relationships/hyperlink" Target="https://dt.ivanovoobl.ru/account/12.12/&#1055;&#1088;&#1086;&#1075;&#1088;&#1072;&#1084;&#1084;&#1072; &#1055;&#1088;&#1086;&#1092;&#1080;&#1083;&#1072;&#1082;&#1090;&#1080;&#1082;&#1080;.pdf" TargetMode="External"/><Relationship Id="rId8" Type="http://schemas.openxmlformats.org/officeDocument/2006/relationships/hyperlink" Target="https://dt.ivanovoobl.ru/account/12.12/&#1044;&#1086;&#1082;&#1083;&#1072;&#1076; &#1087;&#1086; &#1050;&#1053;&#1044; 2024 &#1075;&#1086;&#1076;.pdf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Application>LibreOffice/6.4.7.2$Linux_X86_64 LibreOffice_project/40$Build-2</Application>
  <Pages>4</Pages>
  <Words>1105</Words>
  <Characters>8808</Characters>
  <CharactersWithSpaces>9833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2023-02-08T14:22:00Z</dcterms:created>
  <dc:creator>Кручинина Т.И.</dc:creator>
  <dc:description/>
  <dc:language>ru-RU</dc:language>
  <cp:lastModifiedBy/>
  <cp:lastPrinted>2025-08-05T14:24:35Z</cp:lastPrinted>
  <dcterms:modified xsi:type="dcterms:W3CDTF">2025-08-21T14:49:24Z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