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"/>
          <w:szCs w:val="2"/>
        </w:rPr>
      </w:pPr>
      <w:r>
        <w:rPr/>
        <w:drawing>
          <wp:inline distT="0" distB="0" distL="0" distR="0">
            <wp:extent cx="922020" cy="687705"/>
            <wp:effectExtent l="0" t="0" r="0" b="0"/>
            <wp:docPr id="1" name="Рисунок 1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ДЕПАРТАМЕНТ ТУРИЗМА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ИВАНОВСКОЙ ОБЛАСТИ</w:t>
      </w:r>
    </w:p>
    <w:p>
      <w:pPr>
        <w:pStyle w:val="Normal"/>
        <w:jc w:val="center"/>
        <w:rPr>
          <w:b/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3AC9C642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097270" cy="12065"/>
                <wp:effectExtent l="0" t="0" r="10160" b="37465"/>
                <wp:wrapNone/>
                <wp:docPr id="2" name="Прямая со стрелко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uppressAutoHyphens w:val="true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Times New Roman" w:cs="Times New Roman"/>
          <w:b/>
          <w:spacing w:val="80"/>
          <w:sz w:val="32"/>
          <w:szCs w:val="32"/>
          <w:lang w:eastAsia="ar-SA"/>
        </w:rPr>
        <w:t>ПРИКАЗ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80"/>
          <w:sz w:val="28"/>
          <w:szCs w:val="28"/>
          <w:lang w:eastAsia="ar-SA"/>
        </w:rPr>
      </w:pPr>
      <w:r>
        <w:rPr>
          <w:rFonts w:eastAsia="Times New Roman" w:cs="Times New Roman"/>
          <w:b/>
          <w:spacing w:val="80"/>
          <w:sz w:val="28"/>
          <w:szCs w:val="28"/>
          <w:lang w:eastAsia="ar-SA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3249"/>
        <w:gridCol w:w="3150"/>
        <w:gridCol w:w="3171"/>
      </w:tblGrid>
      <w:tr>
        <w:trPr/>
        <w:tc>
          <w:tcPr>
            <w:tcW w:w="324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«____»_________2025 г. </w:t>
            </w:r>
          </w:p>
        </w:tc>
        <w:tc>
          <w:tcPr>
            <w:tcW w:w="315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г. Иваново</w:t>
            </w:r>
          </w:p>
        </w:tc>
        <w:tc>
          <w:tcPr>
            <w:tcW w:w="317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_________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ind w:firstLine="709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 xml:space="preserve">О внесении изменений в Приказ Департамента туризма </w:t>
      </w:r>
    </w:p>
    <w:p>
      <w:pPr>
        <w:pStyle w:val="Normal"/>
        <w:widowControl w:val="false"/>
        <w:spacing w:lineRule="auto" w:line="276" w:before="0" w:after="0"/>
        <w:ind w:firstLine="709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 xml:space="preserve">Ивановской области от 19 сентября 2025 года № 15 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>«О порядке разработки, утверждения и размещения в информационно-телекоммуникационной сети Интернет списка рекомендуемых туристских маршрутов»</w:t>
      </w:r>
      <w:r>
        <w:rPr>
          <w:rFonts w:eastAsia="Times New Roman" w:cs="Times New Roman"/>
          <w:b/>
          <w:sz w:val="28"/>
          <w:szCs w:val="28"/>
          <w:lang w:eastAsia="ru-RU"/>
        </w:rPr>
        <w:t>.</w:t>
      </w:r>
    </w:p>
    <w:p>
      <w:pPr>
        <w:pStyle w:val="Normal"/>
        <w:widowControl w:val="false"/>
        <w:spacing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с пунктом 2 статьи 5 Федерального закона от 24.07.1998 № 124-ФЗ  «Об основных гарантиях прав ребенка в Российской Федерации», частью 2.1 статьи 5 Закона Ивановской области от 10.04.2012 № 21-ОЗ «Об отдельных гарантиях прав ребенка в Ивановской области»,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постановлением Правительства Ивановской области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от 21.03.2024 N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105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-п «Об утверждении положения о Департаменте туризма Ивановской области» </w:t>
      </w:r>
      <w:r>
        <w:rPr>
          <w:rFonts w:eastAsia="Times New Roman" w:cs="Times New Roman"/>
          <w:b/>
          <w:sz w:val="28"/>
          <w:szCs w:val="28"/>
          <w:lang w:eastAsia="ru-RU"/>
        </w:rPr>
        <w:t>п р и к а з ы в а ю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ind w:firstLine="709"/>
        <w:contextualSpacing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Утвердить Положение о порядке разработки и утверждения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и размещения его в информационно-телекоммуникационной сети «Интернет» (приложение 1).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ind w:firstLine="709"/>
        <w:contextualSpacing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Образовать комиссию по разработке и утверждению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и утвердить ее состав (приложение 2).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 w:before="0" w:after="0"/>
        <w:ind w:left="0" w:firstLine="567"/>
        <w:contextualSpacing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Признать утратившим силу</w:t>
      </w:r>
      <w:r>
        <w:rPr/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Приказ Департамента туризма Ивановской области от 07.05.2025 № 10 «</w:t>
      </w:r>
      <w:r>
        <w:rPr>
          <w:rFonts w:eastAsia="Times New Roman" w:cs="Times New Roman"/>
          <w:b w:val="false"/>
          <w:bCs w:val="false"/>
          <w:sz w:val="28"/>
          <w:szCs w:val="28"/>
          <w:lang w:eastAsia="ar-SA"/>
        </w:rPr>
        <w:t>О порядке разработки, утверждения и размещения в информационно-телекоммуникационной сети Интернет списка рекомендуемых туристских маршрутов»</w:t>
      </w:r>
      <w:r>
        <w:rPr>
          <w:rFonts w:eastAsia="Times New Roman" w:cs="Times New Roman"/>
          <w:sz w:val="28"/>
          <w:szCs w:val="28"/>
          <w:lang w:eastAsia="ru-RU"/>
        </w:rPr>
        <w:t xml:space="preserve"> (зарегистрировано в Департаменте туризма Ивановской области 07.05.2025 № 252800010).</w:t>
      </w:r>
    </w:p>
    <w:p>
      <w:pPr>
        <w:pStyle w:val="Normal"/>
        <w:widowControl w:val="false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b/>
          <w:b/>
          <w:bCs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Заместитель директора Департамента </w:t>
      </w:r>
    </w:p>
    <w:p>
      <w:pPr>
        <w:pStyle w:val="Normal"/>
        <w:widowControl/>
        <w:suppressAutoHyphens w:val="false"/>
        <w:spacing w:lineRule="auto" w:line="240"/>
        <w:jc w:val="left"/>
        <w:rPr>
          <w:b/>
          <w:b/>
          <w:bCs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туризма Ивановской области,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начальник управления по туризму                                           Е.Г. Ершова</w:t>
      </w:r>
      <w:r>
        <w:rPr>
          <w:rFonts w:eastAsia="Times New Roman" w:cs="Times New Roman"/>
          <w:b/>
          <w:sz w:val="28"/>
          <w:szCs w:val="28"/>
          <w:lang w:eastAsia="ar-SA"/>
        </w:rPr>
        <w:t xml:space="preserve">       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Normal"/>
        <w:ind w:hanging="0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hanging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1 </w:t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приказу Департамента </w:t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туризма Ивановской области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7"/>
          <w:szCs w:val="27"/>
        </w:rPr>
        <w:t xml:space="preserve">                                                 </w:t>
      </w:r>
      <w:bookmarkStart w:id="0" w:name="_Hlk197514153"/>
      <w:r>
        <w:rPr>
          <w:sz w:val="27"/>
          <w:szCs w:val="27"/>
        </w:rPr>
        <w:t xml:space="preserve">от </w:t>
      </w:r>
      <w:r>
        <w:rPr>
          <w:sz w:val="27"/>
          <w:szCs w:val="27"/>
          <w:u w:val="single"/>
        </w:rPr>
        <w:t>_______</w:t>
      </w:r>
      <w:r>
        <w:rPr>
          <w:sz w:val="27"/>
          <w:szCs w:val="27"/>
        </w:rPr>
        <w:t xml:space="preserve">  № </w:t>
      </w:r>
      <w:bookmarkEnd w:id="0"/>
      <w:r>
        <w:rPr>
          <w:sz w:val="27"/>
          <w:szCs w:val="27"/>
          <w:u w:val="single"/>
        </w:rPr>
        <w:t>__</w:t>
      </w:r>
    </w:p>
    <w:p>
      <w:pPr>
        <w:pStyle w:val="Normal"/>
        <w:widowControl w:val="false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разработки и утверждения списка рекомендуемых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туристских маршрутов (других маршрутов передвижения)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прохождения группами туристов с участием детей в рамках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осуществления самодеятельного туризма и для прохождения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организованными группами детей, находящихся в организациях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отдыха детей и их оздоровления, и размещения его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Порядок разработки и утверждения списка рекомендуемых туристских маршрутов (других маршрутов передвижения) в Ивановской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(далее - список  маршрутов), осуществляется посредством сбора поступающей от заявителей информации о туристских маршрутах (других маршрутах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(далее - туристские маршруты), ее рассмотрения, утверждения списка туристских маршрутов и его размещения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Заявителями могут выступать юридические лица, индивидуальные предприниматели, органы местного самоуправления муниципальных образований Ивановской области, физические лица.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Целью разработки и утверждения списка туристских маршрутов является информирование граждан о рекомендуемых туристских маршрутах на территории Ивановской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целях утверждения списка маршрутов образуется комиссия по разработке и утверждению списка туристских маршрутов (далее - комиссия). На основании решения комиссии Департамент туризма Ивановской области (далее - Департамент) утверждает список маршрутов.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Комиссия формируется в составе председателя комиссии, его заместителя, секретаря и членов комиссии. Комиссия состоит из постоянных членов в количестве 10 человек. Руководство деятельностью комиссии осуществляет председатель комиссии, а в его отсутствие - заместитель председателя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включаются специалисты туристской отрасли, представители образовательных, научных, общественных организаций и исполнительных органов государственной власти Ивановской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Предлагаемые заявителями туристские маршруты должны быть безопасными для жизни и здоровья туристов и соответствовать общим требованиям безопасности, установленным действующим национальным стандартом Российской Федерации ГОСТ 32611-2014 «Межгосударственный стандарт. Туристские услуги. Требования по обеспечению безопасности туристов», введенным в действие приказом Федерального агентства по техническому регулированию и метрологии от 26 марта 2014 года № 228-ст «Об утверждении межгосударственного стандарта», а также утвержденным Приказом Министерства просвещения Российской Федерации № 702, Мин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истерства экономического развития</w:t>
      </w:r>
      <w:r>
        <w:rPr>
          <w:sz w:val="28"/>
          <w:szCs w:val="28"/>
        </w:rPr>
        <w:t xml:space="preserve"> Российской Федерации № 811 от 19.12.2019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Заявитель несет ответственность за достоверность представляемых им сведений в соответствии с действующим законодательством.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Ответственные за соблюдение условий прохождения туристского маршрута, и обеспечение безопасности участников в соответствии с Общими требованиями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мероприятий, утвержденных приказом Министерства экономического развития Российской Федерации № 811 и Министерства просвещения Российской Федерации № 702 от 19.12.2019 года, возлагается на организатора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Департамент размещает настоящее Положение на своем официальном сайте https://dt.ivanovoobl.ru в информационно-телекоммуникационной сети «Интернет».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10. Прием заявок от лиц, указанных в п. 2 раздела I, осуществляется на официальную почту Департамента: </w:t>
      </w:r>
      <w:hyperlink r:id="rId3">
        <w:r>
          <w:rPr>
            <w:sz w:val="28"/>
            <w:szCs w:val="28"/>
          </w:rPr>
          <w:t>dt@ivanovoobl.ru</w:t>
        </w:r>
      </w:hyperlink>
      <w:r>
        <w:rPr>
          <w:sz w:val="28"/>
          <w:szCs w:val="28"/>
        </w:rPr>
        <w:t xml:space="preserve">. Также Департаментом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 раза в год не позднее 1 февраля и 1 сентября </w:t>
      </w:r>
      <w:r>
        <w:rPr>
          <w:sz w:val="28"/>
          <w:szCs w:val="28"/>
        </w:rPr>
        <w:t xml:space="preserve"> направляется официальный запрос главам городских округов и муниципальных районов </w:t>
      </w:r>
      <w:r>
        <w:rPr>
          <w:rFonts w:eastAsia="Times New Roman" w:cs="Times New Roman"/>
          <w:sz w:val="28"/>
          <w:szCs w:val="28"/>
          <w:lang w:eastAsia="ru-RU"/>
        </w:rPr>
        <w:t>Ивановской области о формировании реестра маршрутов для прохождения группами туристов с участием детей в рамках осуществления самодеятельного туризма.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Порядок сбора и рассмотрения информации</w:t>
      </w:r>
    </w:p>
    <w:p>
      <w:pPr>
        <w:pStyle w:val="Normal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туристских маршрутах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Заявитель направляет в Департамент письменное заявление о рассмотрении информации о туристском маршруте и его включении в список маршрутов (далее - заявление) по форме согласно приложению 1 к настоящему Положению. К заявлению прилагается информация о туристском маршруте по форме согласно приложению 2 к настоящему Положению.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bookmarkStart w:id="1" w:name="Par27"/>
      <w:bookmarkEnd w:id="1"/>
      <w:r>
        <w:rPr>
          <w:sz w:val="28"/>
          <w:szCs w:val="28"/>
        </w:rPr>
        <w:t>2. Заявление и прилагаемые к нему документы могут быть направлены почтовым отправлением с описью вложения, представлены непосредственно в Департамент  или представлены в форме электронного документа, подписанного электронной подписью.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Сотрудник приемной Департамента в течение 1 рабочего дня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поступления в департамент заявления регистрирует его и передает секретарю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в течение 3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осуществляет проверку заявления и прилагаемой к нему информации о туристском маршруте на соответствие формам, приведенным в приложениях 1 и 2 к настоящему Положению, и направляет заявителю уведомление: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принятии заявления к рассмотрению комиссией;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возврате заявления с мотивированным обоснованием причин возврата, в случае если заявление и (или) прилагаемая к нему информация о туристском маршруте не соответствуют формам, приведенным в приложениях 1 и 2 к настоящему Положению, а также в случае если информация о туристском маршруте не представлена или представлена не в полном объеме.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причин, послуживших основанием для принятия решения о возврате заявления, заявитель вправе повторно обратиться с заявлением.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Порядок утверждения списка туристских маршрутов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Секретарь комиссии в течение 5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при условии принятия заявления к рассмотрению комиссией направляет копию поступившего заявления и прилагаемой к нему информации о туристском маршруте на рассмотрение членам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Заседания комиссии проводятся по мере необходимости при поступлении заявлений в срок не позднее 10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секретарем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Заседания комиссии считаются правомочными, если на них присутствует более половины от общего числа членов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Члены комиссии участвуют в заседаниях комиссии с помощью систем видео-конференц связи. В случае введения на территории Ивановской области ограничительных мер в связи с неблагоприятной санитарно-эпидемиологической обстановкой заседание комиссии может проводиться в заочной форме. В указанном случае члены комиссии голосуют путем заполнения бюллетеней, прилагаемых к протоколу заседания комиссии.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Решения комиссии принимаются простым большинством голосов членов комиссии, присутствовавших на заседании комиссии. При голосовании каждый член комиссии имеет один голос. В случае равенства голосов решающим является голос председательствующего на заседании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Решение о включении туристского маршрута в список маршрутов либо об отказе во включении туристского маршрута в список маршрутов оформляется протоколом заседания комиссии в течение 3 рабочих дней со дня заседания комиссии.</w:t>
      </w:r>
    </w:p>
    <w:p>
      <w:pPr>
        <w:pStyle w:val="Normal"/>
        <w:ind w:firstLine="709"/>
        <w:jc w:val="both"/>
        <w:rPr/>
      </w:pPr>
      <w:bookmarkStart w:id="2" w:name="Par42"/>
      <w:bookmarkEnd w:id="2"/>
      <w:r>
        <w:rPr>
          <w:sz w:val="28"/>
          <w:szCs w:val="28"/>
        </w:rPr>
        <w:t>7. На основании протокола заседания комиссии в течение 5 рабочих дней со дня заседания комиссии издается приказ Департамента об утверждении списка маршрутов или о внесении изменений в утвержденный список маршрутов либо составляется письменное уведомление об отказе во включении туристского маршрута в список  маршрутов и направляется заявителю в течение 2 рабочих дней на адрес электронной почты, указанный в форме Приложения 1 к Положению.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8. Секретарь комиссии в срок не более 7 рабочих дней со дня издания приказа Департамента, указанного в пункте 7 данного раздела, направляет (выдает) заявителю копию указанного приказа.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Основанием для отказа во включении туристского маршрута в список маршрутов является его несоответствие общим требованиям безопасности, установленным действующим национальным стандартом Российской Федерации ГОСТ 32611-2014 «Межгосударственный стандарт. Туристские услуги. Требования по обеспечению безопасности туристов», введенным в действие приказом Федерального агентства по техническому регулированию и метрологии от 26 марта 2014 года № 228-ст «Об утверждении межгосударственного стандарта», а также утвержденным Приказом Министерства просвещения Российской Федерации № 702, Мин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истерства экономического развития</w:t>
      </w:r>
      <w:r>
        <w:rPr>
          <w:sz w:val="28"/>
          <w:szCs w:val="28"/>
        </w:rPr>
        <w:t xml:space="preserve"> Российской Федерации № 811 от 19.12.2019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Порядок ведения списка туристских маршрутов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Секретарь комиссии обеспечивает размещение списка туристских маршрутов на официальном сайте https://dt.ivanovoobl.ru в информационно-телекоммуникационной сети «Интернет» в течение 2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издания приказа, указанного в пункте 7 раздела III настоящего Положения. Утвержденные маршруты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публикуются списком в виде ссылок с названием конкретного маршрута в разделе «Маршруты Ивановской области». Данные ссылки включают в себя подробную информацию о туристском маршруте в соответствии с Приложением 3 к Положению.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случае изменения условий прохождения туристского маршрута заявитель в десятидневный срок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даты,</w:t>
      </w:r>
      <w:r>
        <w:rPr>
          <w:sz w:val="28"/>
          <w:szCs w:val="28"/>
        </w:rPr>
        <w:t xml:space="preserve"> когда ему стало известно об изменении условий прохождения туристского маршрута, направляет в Департамент письменное заявление об исключении туристского маршрута из списка маршрутов. Заявление об исключении туристского маршрута из списка маршрутов составляется в свободной форме и принимается в порядке, установленном пунктом 2 раздела II настоящего Положения.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в течение 2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поступления заявления об исключении туристского маршрута из списка маршрутов издает приказ об исключении туристского маршрута из списка маршрутов и исключает сведения о нем из списка маршрутов на официальном сайте https://dt.ivanovoobl.ru в информационно-телекоммуникационной сети «Интернет». Копия приказа об исключении туристского маршрута из списка маршрутов в срок не более 5 рабочих дней со дня его издания направляется (выдается) заявителю.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ФОРМА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заявления о рассмотрении информации о туристском маршруте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(другом маршруте передвижения) для прохождения группами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туристов с участием детей в рамках осуществления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самодеятельного туризма и для прохождения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организованными группами детей, находящихся в организациях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отдыха детей и их оздоровления, и его включении в список</w:t>
      </w:r>
    </w:p>
    <w:p>
      <w:pPr>
        <w:pStyle w:val="Normal"/>
        <w:jc w:val="center"/>
        <w:rPr>
          <w:b/>
          <w:b/>
        </w:rPr>
      </w:pPr>
      <w:r>
        <w:rPr>
          <w:b/>
        </w:rPr>
        <w:t>рекомендуемых туристских маршрутов (других маршрутов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передвижения) для прохождения группами туристов с участием</w:t>
      </w:r>
    </w:p>
    <w:p>
      <w:pPr>
        <w:pStyle w:val="Normal"/>
        <w:jc w:val="center"/>
        <w:rPr>
          <w:b/>
          <w:b/>
        </w:rPr>
      </w:pPr>
      <w:r>
        <w:rPr>
          <w:b/>
        </w:rPr>
        <w:t>детей в рамках осуществления самодеятельного туризма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 для прохождения организованными группами детей,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находящихся в организациях отдыха детей и их оздоровления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Члену Правительства Ивановской области - директору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Департамента туризма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Ивановской области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>(Ф.И.О.)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>(фамилия, имя, отчество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>(при наличии) заявителя -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>физического лица,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индивидуального предпринимателя)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(наименование организации, органа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местного самоуправления, 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(контактные данные: тел, эл. почта)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>ЗАЯВЛЕНИЕ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Прошу рассмотреть информацию о туристском маршруте 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(наименование маршрута)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и  включить  указанный  маршрут в список рекомендуемых туристских маршрутов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(других   маршрутов  передвижения)  для  прохождения  группами  туристов  с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участием  детей  в  рамках  осуществления  самодеятельного  туризма  и  для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прохождения  организованными  группами  детей,  находящихся  в организациях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отдыха детей и их оздоровления.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   ______________   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(наименование должности                     (подпись)            (фамилия, имя, отчество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руководителя организации, органа                                                (при наличии)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местного самоуправления)                                                         руководителя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>организации, органа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>местного самоуправления/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>физического лица,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индивидуального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предпринимателя)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М.П. (при наличии)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информации о туристском маршруте (другом маршруте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передвижения) для прохождения группами туристов с участием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детей в рамках осуществления самодеятельного туризма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 для прохождения организованными группами детей,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находящихся в организациях отдыха детей и их оздоровления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Заявитель (фамилия, имя, отчество (при наличии) физического лица и индивидуального предпринимателя, полное наименование организации, органа местного самоуправления).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 туристского маршрута, продолжительность по времени, протяженность (в километрах).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о районе, где проходит туристский маршрут (природные, климатические особенности, инфраструктура).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4. Способ подъезда к началу туристского маршрута и отъезда от его конечной точки.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Ключевые точки туристского маршрута, в том числе места его начала и окончания. В качестве ключевых точек могут выступать объекты культурного и природного наследия.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Построение туристского маршрута с использованием картографического материала и информация о путях движения между ключевыми точками.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Предварительный график движения по туристскому маршруту с указанием предполагаемых мест остановок, привалов и ночлегов.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Рекомендуемый период (время года) для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Рекомендуемый возраст детей для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Перечень объектов, требующих повышения мер безопасности, и рекомендации по их прохождению.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Возможность оказания медицинской помощи на туристском маршруте, адреса ближайших медицинских учреждений.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Особенности питания и питьевого режима на туристском маршруте.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Безопасные способы и пути аварийного выхода с туристского маршрута, в том числе в случае чрезвычайной ситуации.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Обеспечение несовершеннолетних туристов средствами индивидуальной защиты (спасательные жилеты, страховочные системы, веревки, каски, дождевики и прочее туристское снаряжение), а также средствами мобильной связи с запасным комплектом аккумуляторных батарей и внешних аккумуляторов в зависимости от длительности, сложности туристского маршрута и климатических условий.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 информации о рекомендуемом маршруте для прохождения группами туристов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-55" w:type="dxa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6299"/>
        <w:gridCol w:w="2771"/>
      </w:tblGrid>
      <w:tr>
        <w:trPr/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Муниципальное образование, по которому проходит маршрут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29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название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организатор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Организаторы маршрута (ФИО, номера телефонов, Е-mail)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Туристический поток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(сезонный, круглогодичный)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Продолжительность туристического  маршрута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(краткосрочный, долгосрочный, маршрут выходного дня)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Вид туристического маршрута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0"/>
                <w:szCs w:val="24"/>
              </w:rPr>
              <w:t>(водный, пешеходный, лыжный, велосипедный, автобусный и т.д.).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 xml:space="preserve">Цели и задачи туристического маршрута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(оздоровительный, спортивный,  ознакомительный, культурно-познавательный и т.д.)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Характеристика маршрута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пункт (место) убытия группы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пункт (место) прибытия группы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протяженность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категория сложности маршрута (переправы, труднопроходимая местность)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пункты остановок (привалов, ночлегов)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место дислокации ближайшей ПСС, ПЧ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ближайший населенный пункт (пункты)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ближайшие медицинские учреждения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ближайшие стационарные точки связи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536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характер существующих и возможный препятствий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особенность района путешествия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ориентировочное время прохождения контрольных точек движения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Краткое описание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Схема маршрута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(приложение)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Основные достопримечательности на маршруте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Дополнительно (при необходимости)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nos" w:hAnsi="Tinos" w:cs="Tinos"/>
                <w:color w:val="000000"/>
              </w:rPr>
            </w:pPr>
            <w:r>
              <w:rPr>
                <w:rFonts w:cs="Tinos" w:ascii="Tinos" w:hAnsi="Tinos"/>
                <w:color w:val="000000"/>
              </w:rPr>
            </w:r>
          </w:p>
        </w:tc>
      </w:tr>
    </w:tbl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Департамента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туризма Ивановской области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7"/>
          <w:szCs w:val="27"/>
        </w:rPr>
        <w:t xml:space="preserve">  </w:t>
      </w:r>
      <w:bookmarkStart w:id="3" w:name="_Hlk1975141531"/>
      <w:r>
        <w:rPr>
          <w:sz w:val="27"/>
          <w:szCs w:val="27"/>
        </w:rPr>
        <w:t>от</w:t>
      </w:r>
      <w:r>
        <w:rPr>
          <w:sz w:val="27"/>
          <w:szCs w:val="27"/>
          <w:u w:val="single"/>
        </w:rPr>
        <w:t>_______</w:t>
      </w:r>
      <w:r>
        <w:rPr>
          <w:sz w:val="27"/>
          <w:szCs w:val="27"/>
        </w:rPr>
        <w:t xml:space="preserve">  № </w:t>
      </w:r>
      <w:bookmarkEnd w:id="3"/>
      <w:r>
        <w:rPr>
          <w:sz w:val="27"/>
          <w:szCs w:val="27"/>
          <w:u w:val="single"/>
        </w:rPr>
        <w:t>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разработке и утверждению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организациях отдыха детей и их оздоровления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8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3374"/>
        <w:gridCol w:w="6211"/>
      </w:tblGrid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Ершова </w:t>
            </w:r>
          </w:p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Екатерина Геннадьевна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директора Департамента туризма Ивановской области, начальник управления по туризму Департамента туризма Ивановской области, заместитель председателя комиссии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Печенкин Александр Дмитриевич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главный консультант управления по туризму Департамента туризма Ивановской области, секретарь рабочей группы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Шестаков Дмитрий Анатольевич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старший инспектор отделения комплексной защиты объектов и организации охраны объектов, подлежащих обязательной охране ФГКУ «УВО ВНГ России по Ивановской области», капитан полиции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Дианычев Игорь Сергеевич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/>
            </w:pPr>
            <w:r>
              <w:rPr>
                <w:sz w:val="28"/>
                <w:szCs w:val="28"/>
                <w:lang w:eastAsia="ar-SA"/>
              </w:rPr>
              <w:t>заместитель начальника отдела организации службы пожарно-спасательных подразделений и координации деятельности аварийно- спасательных работ Главного управления МЧС России по Ивановской области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Дмитриева Ольга Львовна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директора Департамента спорта Ивановской области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Воронина Светлана Михайловна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управления по делам семей, воспитывающих детей, Департамента социальной защиты населения Ивановской области 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Донецкий Павел Андреевич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директора Департамента образования и науки Ивановской области </w:t>
            </w:r>
          </w:p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Козлова Елена Владимировна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директора ГАУДПОИО «Университет непрерывного образования и науки Ивановской области»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Климашов Илья Юрьевич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старший методист ГАУДПОИО «Университет непрерывного образования и науки Ивановской области»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Штыцкая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Светлана Васильевна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начальника отдела санитарного надзора Управления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559" w:right="1276" w:header="0" w:top="1134" w:footer="0" w:bottom="1134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132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qFormat/>
    <w:rsid w:val="00ce416c"/>
    <w:rPr>
      <w:sz w:val="28"/>
    </w:rPr>
  </w:style>
  <w:style w:type="character" w:styleId="Style15" w:customStyle="1">
    <w:name w:val="Текст выноски Знак"/>
    <w:basedOn w:val="DefaultParagraphFont"/>
    <w:qFormat/>
    <w:rsid w:val="00a94956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07f41"/>
    <w:rPr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03e02"/>
    <w:rPr/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1606ce"/>
    <w:pPr/>
    <w:rPr>
      <w:sz w:val="44"/>
      <w:szCs w:val="20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Body Text Indent"/>
    <w:basedOn w:val="Normal"/>
    <w:rsid w:val="001606ce"/>
    <w:pPr>
      <w:ind w:firstLine="720"/>
      <w:jc w:val="both"/>
    </w:pPr>
    <w:rPr>
      <w:sz w:val="28"/>
      <w:szCs w:val="20"/>
    </w:rPr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Footer"/>
    <w:basedOn w:val="Normal"/>
    <w:uiPriority w:val="99"/>
    <w:rsid w:val="001606ce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8">
    <w:name w:val="Header"/>
    <w:basedOn w:val="Normal"/>
    <w:uiPriority w:val="99"/>
    <w:rsid w:val="00d526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a94956"/>
    <w:pPr/>
    <w:rPr>
      <w:rFonts w:ascii="Tahoma" w:hAnsi="Tahoma" w:cs="Tahoma"/>
      <w:sz w:val="16"/>
      <w:szCs w:val="16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rsid w:val="00f43f0b"/>
    <w:pPr>
      <w:widowControl w:val="false"/>
    </w:pPr>
    <w:rPr>
      <w:sz w:val="20"/>
      <w:szCs w:val="20"/>
      <w:lang w:eastAsia="ar-SA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t@ivanovoob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LibreOffice/6.4.7.2$Linux_X86_64 LibreOffice_project/40$Build-2</Application>
  <Pages>13</Pages>
  <Words>2525</Words>
  <Characters>18541</Characters>
  <CharactersWithSpaces>22437</CharactersWithSpaces>
  <Paragraphs>195</Paragraphs>
  <Company>Ivadm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2020-10-29T07:31:00Z</dcterms:created>
  <dc:creator>bakvv</dc:creator>
  <dc:description/>
  <dc:language>ru-RU</dc:language>
  <cp:lastModifiedBy/>
  <cp:lastPrinted>2025-11-17T12:04:43Z</cp:lastPrinted>
  <dcterms:modified xsi:type="dcterms:W3CDTF">2025-11-17T12:04:45Z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Ivadm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